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AC3F7A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AC3F7A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1D23B761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showingPlcHdr/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1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1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6787" w14:textId="77777777" w:rsidR="00B81804" w:rsidRDefault="00B818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C83" w14:textId="77777777" w:rsidR="00B81804" w:rsidRDefault="00B81804" w:rsidP="00B81804"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>Hessische Lehrkräfteakademie – Lahnstraße 61 – 35398 Gießen</w:t>
    </w:r>
    <w:r>
      <w:rPr>
        <w:sz w:val="16"/>
        <w:szCs w:val="16"/>
      </w:rPr>
      <w:br/>
      <w:t>Internet: www.la.hessen.de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AB40" w14:textId="77777777" w:rsidR="00B81804" w:rsidRDefault="00B81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0B4C" w14:textId="77777777" w:rsidR="00B81804" w:rsidRDefault="00B818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3030" w14:textId="77777777" w:rsidR="00B81804" w:rsidRDefault="00B818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LHNGfZCSiX8oMX/r23QIyn80e98ijvSF3su8ayLC8ZiTXc3Yr0Kr289YOBPO1louEOhi6Bew8/CYQe7cWb6w==" w:salt="aId/R737Jo+Ou14RFDwPIA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F3203"/>
    <w:rsid w:val="00507DF9"/>
    <w:rsid w:val="00510C0C"/>
    <w:rsid w:val="00550F05"/>
    <w:rsid w:val="005E4849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C3F7A"/>
    <w:rsid w:val="00AE4B57"/>
    <w:rsid w:val="00B23052"/>
    <w:rsid w:val="00B81804"/>
    <w:rsid w:val="00B96CFD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0F5E-FFF9-4ABE-8D2D-B48F7C2A0E61}">
  <ds:schemaRefs>
    <ds:schemaRef ds:uri="http://schemas.microsoft.com/office/2006/metadata/properties"/>
    <ds:schemaRef ds:uri="http://purl.org/dc/elements/1.1/"/>
    <ds:schemaRef ds:uri="135a2608-5b61-4d7b-b0dc-a6ac7e99c0b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89CBD4-7D29-47A7-8CCB-6A35164EF1B2}"/>
</file>

<file path=customXml/itemProps3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FB8C1-30B7-4E70-B59E-5182D24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Döhnert-Wilckens, Hannah (LA FFM)</cp:lastModifiedBy>
  <cp:revision>11</cp:revision>
  <cp:lastPrinted>2024-01-26T13:13:00Z</cp:lastPrinted>
  <dcterms:created xsi:type="dcterms:W3CDTF">2024-01-26T13:08:00Z</dcterms:created>
  <dcterms:modified xsi:type="dcterms:W3CDTF">2024-09-02T11:16:00Z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